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C2410C"/>
          <w:sz w:val="48"/>
        </w:rPr>
        <w:t>THE NEXT CHANCE COLLABORATIVE</w:t>
      </w:r>
    </w:p>
    <w:p>
      <w:pPr>
        <w:spacing w:after="240"/>
        <w:jc w:val="center"/>
      </w:pPr>
      <w:r>
        <w:rPr>
          <w:b w:val="0"/>
          <w:i/>
          <w:color w:val="4B5563"/>
          <w:sz w:val="22"/>
        </w:rPr>
        <w:t>A national coalition working together to help returning citizens stay out — and reduce incarceration in America.</w:t>
      </w:r>
    </w:p>
    <w:p>
      <w:pPr>
        <w:spacing w:after="80"/>
      </w:pPr>
      <w:r>
        <w:rPr>
          <w:color w:val="C2410C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before="160" w:after="80"/>
      </w:pPr>
      <w:r>
        <w:rPr>
          <w:b/>
          <w:color w:val="C2410C"/>
          <w:sz w:val="28"/>
        </w:rPr>
        <w:t>The Problem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Each year about 600,000 people leave U.S. prisons. Within three years, roughly 44% of them return. The first twelve months out are the hardest, and recidivism is driven by five things — housing, employment, addiction relapse, family rupture, and isolation.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No single organization solves all five. Most try to do one well. Returning citizens fall through the gaps in between.</w:t>
      </w:r>
    </w:p>
    <w:p>
      <w:pPr>
        <w:spacing w:before="200" w:after="80"/>
      </w:pPr>
      <w:r>
        <w:rPr>
          <w:b/>
          <w:color w:val="C2410C"/>
          <w:sz w:val="28"/>
        </w:rPr>
        <w:t>Who We Are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The Next Chance Collaborative is a national coalition of churches, nonprofits, and individuals — secular and faith-based — who have decided to work together rather than apart. Members commit to a shared mission and plug in to one or more of nine Action Tracks based on the work they're already doing.</w:t>
      </w:r>
    </w:p>
    <w:p>
      <w:pPr>
        <w:spacing w:after="0"/>
      </w:pPr>
      <w:r>
        <w:rPr>
          <w:b w:val="0"/>
          <w:i w:val="0"/>
          <w:color w:val="1A1A1A"/>
          <w:sz w:val="22"/>
        </w:rPr>
        <w:t xml:space="preserve">Our coalition is built on a simple premise: </w:t>
      </w:r>
    </w:p>
    <w:p>
      <w:pPr>
        <w:spacing w:after="200"/>
        <w:ind w:left="432"/>
      </w:pPr>
      <w:r>
        <w:rPr>
          <w:i/>
          <w:color w:val="C2410C"/>
          <w:sz w:val="23"/>
        </w:rPr>
        <w:t>Recidivism is a handoff problem. Coalitions solve handoff problems.</w:t>
      </w:r>
    </w:p>
    <w:p>
      <w:pPr>
        <w:spacing w:before="200" w:after="80"/>
      </w:pPr>
      <w:r>
        <w:rPr>
          <w:b/>
          <w:color w:val="C2410C"/>
          <w:sz w:val="28"/>
        </w:rPr>
        <w:t>Theory of Change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There are three levers that move incarceration rates over time: reducing recidivism, reducing front-door entry, and reforming sentencing. The Next Chance Collaborative is built to dominate the first lever and contribute meaningfully to the second.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The coalition's value isn't doing the work — its members already do that. The coalition's value is stitching the handoffs. When someone leaves a prison gate, we want them to have a coach lined up by month one, a job lead by month three, a community by month six, and a stable place to live throughout. No one organization makes all four happen. A connected coalition does.</w:t>
      </w:r>
    </w:p>
    <w:p>
      <w:pPr>
        <w:spacing w:before="200" w:after="80"/>
      </w:pPr>
      <w:r>
        <w:rPr>
          <w:b/>
          <w:color w:val="C2410C"/>
          <w:sz w:val="28"/>
        </w:rPr>
        <w:t>The Nine Action Tracks</w:t>
      </w:r>
    </w:p>
    <w:p>
      <w:pPr>
        <w:spacing w:after="160"/>
      </w:pPr>
      <w:r>
        <w:rPr>
          <w:b w:val="0"/>
          <w:i/>
          <w:color w:val="4B5563"/>
          <w:sz w:val="22"/>
        </w:rPr>
        <w:t>Each member organization commits to one or more tracks. Tracks have national working groups (for shared best practices and training) and regional chapters (for the actual day-of handoffs).</w:t>
      </w:r>
    </w:p>
    <w:p>
      <w:pPr>
        <w:pStyle w:val="ListNumber"/>
        <w:spacing w:after="40"/>
      </w:pPr>
      <w:r/>
      <w:r>
        <w:rPr>
          <w:b/>
          <w:color w:val="C2410C"/>
          <w:sz w:val="21"/>
        </w:rPr>
        <w:t xml:space="preserve">In-Prison Engagement. </w:t>
      </w:r>
      <w:r>
        <w:rPr>
          <w:sz w:val="21"/>
        </w:rPr>
        <w:t>Chaplaincy, Bible studies, classes (GED, financial literacy, parenting), Kairos weekends, mentoring inside.</w:t>
      </w:r>
    </w:p>
    <w:p>
      <w:pPr>
        <w:pStyle w:val="ListNumber"/>
        <w:spacing w:after="40"/>
      </w:pPr>
      <w:r/>
      <w:r>
        <w:rPr>
          <w:b/>
          <w:color w:val="C2410C"/>
          <w:sz w:val="21"/>
        </w:rPr>
        <w:t xml:space="preserve">Pre-Release Preparation. </w:t>
      </w:r>
      <w:r>
        <w:rPr>
          <w:sz w:val="21"/>
        </w:rPr>
        <w:t>Connecting inside contacts to outside resources before release. Building the relationships that wait at the gate.</w:t>
      </w:r>
    </w:p>
    <w:p>
      <w:pPr>
        <w:pStyle w:val="ListNumber"/>
        <w:spacing w:after="40"/>
      </w:pPr>
      <w:r/>
      <w:r>
        <w:rPr>
          <w:b/>
          <w:color w:val="C2410C"/>
          <w:sz w:val="21"/>
        </w:rPr>
        <w:t xml:space="preserve">First-Day Logistics. </w:t>
      </w:r>
      <w:r>
        <w:rPr>
          <w:sz w:val="21"/>
        </w:rPr>
        <w:t>Housing, ID, transportation, clothing, phones on Day 0 of release. Stop the freefall.</w:t>
      </w:r>
    </w:p>
    <w:p>
      <w:pPr>
        <w:pStyle w:val="ListNumber"/>
        <w:spacing w:after="40"/>
      </w:pPr>
      <w:r/>
      <w:r>
        <w:rPr>
          <w:b/>
          <w:color w:val="C2410C"/>
          <w:sz w:val="21"/>
        </w:rPr>
        <w:t xml:space="preserve">Reentry Coaching &amp; Mentorship. </w:t>
      </w:r>
      <w:r>
        <w:rPr>
          <w:sz w:val="21"/>
        </w:rPr>
        <w:t>Trained volunteer coaches who walk alongside someone for the first year — one hour a week, structured, accountable.</w:t>
      </w:r>
    </w:p>
    <w:p>
      <w:pPr>
        <w:pStyle w:val="ListNumber"/>
        <w:spacing w:after="40"/>
      </w:pPr>
      <w:r/>
      <w:r>
        <w:rPr>
          <w:b/>
          <w:color w:val="C2410C"/>
          <w:sz w:val="21"/>
        </w:rPr>
        <w:t xml:space="preserve">Employment Pipelines. </w:t>
      </w:r>
      <w:r>
        <w:rPr>
          <w:sz w:val="21"/>
        </w:rPr>
        <w:t>Fair-chance employer recruitment, vocational training, soft-skills coaching, expungement support.</w:t>
      </w:r>
    </w:p>
    <w:p>
      <w:pPr>
        <w:pStyle w:val="ListNumber"/>
        <w:spacing w:after="40"/>
      </w:pPr>
      <w:r/>
      <w:r>
        <w:rPr>
          <w:b/>
          <w:color w:val="C2410C"/>
          <w:sz w:val="21"/>
        </w:rPr>
        <w:t xml:space="preserve">Family &amp; Inmate Communication. </w:t>
      </w:r>
      <w:r>
        <w:rPr>
          <w:sz w:val="21"/>
        </w:rPr>
        <w:t>Visitation, video calls, letters, Angel Tree, family reunification work, programs for kids of incarcerated parents.</w:t>
      </w:r>
    </w:p>
    <w:p>
      <w:pPr>
        <w:pStyle w:val="ListNumber"/>
        <w:spacing w:after="40"/>
      </w:pPr>
      <w:r/>
      <w:r>
        <w:rPr>
          <w:b/>
          <w:color w:val="C2410C"/>
          <w:sz w:val="21"/>
        </w:rPr>
        <w:t xml:space="preserve">Mental Health &amp; Recovery. </w:t>
      </w:r>
      <w:r>
        <w:rPr>
          <w:sz w:val="21"/>
        </w:rPr>
        <w:t>Peer support, addiction recovery programs, trauma-informed care, ongoing therapy access.</w:t>
      </w:r>
    </w:p>
    <w:p>
      <w:pPr>
        <w:pStyle w:val="ListNumber"/>
        <w:spacing w:after="40"/>
      </w:pPr>
      <w:r/>
      <w:r>
        <w:rPr>
          <w:b/>
          <w:color w:val="C2410C"/>
          <w:sz w:val="21"/>
        </w:rPr>
        <w:t xml:space="preserve">Housing. </w:t>
      </w:r>
      <w:r>
        <w:rPr>
          <w:sz w:val="21"/>
        </w:rPr>
        <w:t>Transitional housing on day one, pathways to permanent housing, partnerships with fair-chance landlords.</w:t>
      </w:r>
    </w:p>
    <w:p>
      <w:pPr>
        <w:pStyle w:val="ListNumber"/>
        <w:spacing w:after="40"/>
      </w:pPr>
      <w:r/>
      <w:r>
        <w:rPr>
          <w:b/>
          <w:color w:val="C2410C"/>
          <w:sz w:val="21"/>
        </w:rPr>
        <w:t xml:space="preserve">Community Mobilization. </w:t>
      </w:r>
      <w:r>
        <w:rPr>
          <w:sz w:val="21"/>
        </w:rPr>
        <w:t>Churches, civic groups, volunteer days, advocacy events, congregational training, public storytelling.</w:t>
      </w:r>
    </w:p>
    <w:p>
      <w:pPr>
        <w:spacing w:before="200" w:after="80"/>
      </w:pPr>
      <w:r>
        <w:rPr>
          <w:b/>
          <w:color w:val="C2410C"/>
          <w:sz w:val="28"/>
        </w:rPr>
        <w:t>How the Coalition Works</w:t>
      </w:r>
    </w:p>
    <w:p>
      <w:pPr>
        <w:spacing w:after="40"/>
      </w:pPr>
      <w:r>
        <w:rPr>
          <w:b/>
          <w:i w:val="0"/>
          <w:color w:val="C2410C"/>
          <w:sz w:val="22"/>
        </w:rPr>
        <w:t>Membership tiers</w:t>
      </w:r>
    </w:p>
    <w:p>
      <w:pPr>
        <w:pStyle w:val="ListBullet"/>
        <w:spacing w:after="40"/>
      </w:pPr>
      <w:r>
        <w:rPr>
          <w:sz w:val="21"/>
        </w:rPr>
        <w:t>Confirmed Member — signed on; participating in at least one Action Track.</w:t>
      </w:r>
    </w:p>
    <w:p>
      <w:pPr>
        <w:pStyle w:val="ListBullet"/>
        <w:spacing w:after="40"/>
      </w:pPr>
      <w:r>
        <w:rPr>
          <w:sz w:val="21"/>
        </w:rPr>
        <w:t>Active Member — Confirmed and contributing meaningfully (sharing a coach pipeline, running an event, hosting a working-group call, etc.).</w:t>
      </w:r>
    </w:p>
    <w:p>
      <w:pPr>
        <w:pStyle w:val="ListBullet"/>
        <w:spacing w:after="40"/>
      </w:pPr>
      <w:r>
        <w:rPr>
          <w:sz w:val="21"/>
        </w:rPr>
        <w:t>Affiliate — supportive but low-engagement; receives updates, attends annual gatherings.</w:t>
      </w:r>
    </w:p>
    <w:p>
      <w:pPr>
        <w:pStyle w:val="ListBullet"/>
        <w:spacing w:after="40"/>
      </w:pPr>
      <w:r>
        <w:rPr>
          <w:sz w:val="21"/>
        </w:rPr>
        <w:t>Prospect — being recruited.</w:t>
      </w:r>
    </w:p>
    <w:p>
      <w:pPr>
        <w:spacing w:after="40"/>
      </w:pPr>
      <w:r>
        <w:rPr>
          <w:b/>
          <w:i w:val="0"/>
          <w:color w:val="C2410C"/>
          <w:sz w:val="22"/>
        </w:rPr>
        <w:t>National working groups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One per Action Track. Monthly virtual call. Members share what's working, set quality standards, develop shared training, and identify gaps.</w:t>
      </w:r>
    </w:p>
    <w:p>
      <w:pPr>
        <w:spacing w:after="40"/>
      </w:pPr>
      <w:r>
        <w:rPr>
          <w:b/>
          <w:i w:val="0"/>
          <w:color w:val="C2410C"/>
          <w:sz w:val="22"/>
        </w:rPr>
        <w:t>Regional chapters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State or multi-state hubs that coordinate the actual handoffs. A returning citizen leaving an Ohio prison should not have to assemble the puzzle themselves — the local chapter does it.</w:t>
      </w:r>
    </w:p>
    <w:p>
      <w:pPr>
        <w:spacing w:after="40"/>
      </w:pPr>
      <w:r>
        <w:rPr>
          <w:b/>
          <w:i w:val="0"/>
          <w:color w:val="C2410C"/>
          <w:sz w:val="22"/>
        </w:rPr>
        <w:t>Annual gathering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One in-person convening per year. Members share results, troubleshoot the hardest cases, hear from returning citizens themselves, and recommit.</w:t>
      </w:r>
    </w:p>
    <w:p>
      <w:pPr>
        <w:spacing w:before="200" w:after="80"/>
      </w:pPr>
      <w:r>
        <w:rPr>
          <w:b/>
          <w:color w:val="C2410C"/>
          <w:sz w:val="28"/>
        </w:rPr>
        <w:t>What Membership Means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2"/>
        <w:gridCol w:w="4752"/>
      </w:tblGrid>
      <w:tr>
        <w:tc>
          <w:tcPr>
            <w:tcW w:type="dxa" w:w="4824"/>
          </w:tcPr>
          <w:p>
            <w:r/>
            <w:r>
              <w:rPr>
                <w:b/>
                <w:color w:val="C2410C"/>
                <w:sz w:val="22"/>
              </w:rPr>
              <w:t>What members give</w:t>
            </w:r>
          </w:p>
        </w:tc>
        <w:tc>
          <w:tcPr>
            <w:tcW w:type="dxa" w:w="4824"/>
          </w:tcPr>
          <w:p>
            <w:r/>
            <w:r>
              <w:rPr>
                <w:b/>
                <w:color w:val="C2410C"/>
                <w:sz w:val="22"/>
              </w:rPr>
              <w:t>What members get</w:t>
            </w:r>
          </w:p>
        </w:tc>
      </w:tr>
      <w:tr>
        <w:tc>
          <w:tcPr>
            <w:tcW w:type="dxa" w:w="4752"/>
          </w:tcPr>
          <w:p>
            <w:r>
              <w:rPr>
                <w:sz w:val="21"/>
              </w:rPr>
              <w:t>• A named lead for each Action Track they participate in</w:t>
            </w:r>
          </w:p>
        </w:tc>
        <w:tc>
          <w:tcPr>
            <w:tcW w:type="dxa" w:w="4752"/>
          </w:tcPr>
          <w:p>
            <w:r>
              <w:rPr>
                <w:sz w:val="21"/>
              </w:rPr>
              <w:t>• Direct lines into peer organizations across the country</w:t>
            </w:r>
          </w:p>
        </w:tc>
      </w:tr>
      <w:tr>
        <w:tc>
          <w:tcPr>
            <w:tcW w:type="dxa" w:w="4752"/>
          </w:tcPr>
          <w:p>
            <w:r>
              <w:rPr>
                <w:sz w:val="21"/>
              </w:rPr>
              <w:t>• Participation in at least one quarterly working-group call</w:t>
            </w:r>
          </w:p>
        </w:tc>
        <w:tc>
          <w:tcPr>
            <w:tcW w:type="dxa" w:w="4752"/>
          </w:tcPr>
          <w:p>
            <w:r>
              <w:rPr>
                <w:sz w:val="21"/>
              </w:rPr>
              <w:t>• Shared training, curricula, and trauma-informed materials</w:t>
            </w:r>
          </w:p>
        </w:tc>
      </w:tr>
      <w:tr>
        <w:tc>
          <w:tcPr>
            <w:tcW w:type="dxa" w:w="4752"/>
          </w:tcPr>
          <w:p>
            <w:r>
              <w:rPr>
                <w:sz w:val="21"/>
              </w:rPr>
              <w:t>• Annual reporting of basic outcomes (people served, trends)</w:t>
            </w:r>
          </w:p>
        </w:tc>
        <w:tc>
          <w:tcPr>
            <w:tcW w:type="dxa" w:w="4752"/>
          </w:tcPr>
          <w:p>
            <w:r>
              <w:rPr>
                <w:sz w:val="21"/>
              </w:rPr>
              <w:t>• Co-branding under the Next Chance Collaborative name</w:t>
            </w:r>
          </w:p>
        </w:tc>
      </w:tr>
      <w:tr>
        <w:tc>
          <w:tcPr>
            <w:tcW w:type="dxa" w:w="4752"/>
          </w:tcPr>
          <w:p>
            <w:r>
              <w:rPr>
                <w:sz w:val="21"/>
              </w:rPr>
              <w:t>• Willingness to refer and accept referrals across the coalition</w:t>
            </w:r>
          </w:p>
        </w:tc>
        <w:tc>
          <w:tcPr>
            <w:tcW w:type="dxa" w:w="4752"/>
          </w:tcPr>
          <w:p>
            <w:r>
              <w:rPr>
                <w:sz w:val="21"/>
              </w:rPr>
              <w:t>• Annual gathering, listings in member directory, advocacy weight</w:t>
            </w:r>
          </w:p>
        </w:tc>
      </w:tr>
    </w:tbl>
    <w:p>
      <w:pPr>
        <w:spacing w:before="280" w:after="80"/>
      </w:pPr>
      <w:r>
        <w:rPr>
          <w:b/>
          <w:color w:val="C2410C"/>
          <w:sz w:val="28"/>
        </w:rPr>
        <w:t>How to Join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If you run or represent an organization that does any of the work above — or you're a person whose audience or platform can move others toward this work — we'd love to talk. There is no fee. The commitment is real but lightweight.</w:t>
      </w:r>
    </w:p>
    <w:p>
      <w:pPr>
        <w:spacing w:after="40"/>
      </w:pPr>
      <w:r>
        <w:rPr>
          <w:b/>
          <w:i w:val="0"/>
          <w:color w:val="1A1A1A"/>
          <w:sz w:val="22"/>
        </w:rPr>
        <w:t>Three steps:</w:t>
      </w:r>
    </w:p>
    <w:p>
      <w:pPr>
        <w:pStyle w:val="ListBullet"/>
        <w:spacing w:after="40"/>
      </w:pPr>
      <w:r>
        <w:rPr>
          <w:sz w:val="21"/>
        </w:rPr>
        <w:t>Reply to this document or email us indicating which Action Tracks you're already active in.</w:t>
      </w:r>
    </w:p>
    <w:p>
      <w:pPr>
        <w:pStyle w:val="ListBullet"/>
        <w:spacing w:after="40"/>
      </w:pPr>
      <w:r>
        <w:rPr>
          <w:sz w:val="21"/>
        </w:rPr>
        <w:t>Schedule a 30-minute intake call with the Coalition convener.</w:t>
      </w:r>
    </w:p>
    <w:p>
      <w:pPr>
        <w:pStyle w:val="ListBullet"/>
        <w:spacing w:after="40"/>
      </w:pPr>
      <w:r>
        <w:rPr>
          <w:sz w:val="21"/>
        </w:rPr>
        <w:t>Sign the (one-page) member commitment and be added to the national directory.</w:t>
      </w:r>
    </w:p>
    <w:p>
      <w:pPr>
        <w:spacing w:before="320"/>
        <w:jc w:val="center"/>
      </w:pPr>
      <w:r>
        <w:rPr>
          <w:color w:val="C2410C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40"/>
        <w:jc w:val="center"/>
      </w:pPr>
      <w:r>
        <w:rPr>
          <w:b w:val="0"/>
          <w:i/>
          <w:color w:val="C2410C"/>
          <w:sz w:val="24"/>
        </w:rPr>
        <w:t>No one walks out of a prison gate alone.</w:t>
      </w:r>
    </w:p>
    <w:p>
      <w:pPr>
        <w:spacing w:after="0"/>
        <w:jc w:val="center"/>
      </w:pPr>
      <w:r>
        <w:rPr>
          <w:b w:val="0"/>
          <w:i w:val="0"/>
          <w:color w:val="4B5563"/>
          <w:sz w:val="18"/>
        </w:rPr>
        <w:t>Hosted by Crossroads Prison Ministries and Four-Seven  ·  thenextchancecollaborative.org (forthcoming)</w:t>
      </w:r>
    </w:p>
    <w:sectPr w:rsidR="00FC693F" w:rsidRPr="0006063C" w:rsidSect="00034616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