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C2410C"/>
          <w:sz w:val="48"/>
        </w:rPr>
        <w:t>BRAND GUIDELINES</w:t>
      </w:r>
    </w:p>
    <w:p>
      <w:pPr>
        <w:spacing w:after="280"/>
        <w:jc w:val="center"/>
      </w:pPr>
      <w:r>
        <w:rPr>
          <w:b w:val="0"/>
          <w:i/>
          <w:color w:val="4B5563"/>
          <w:sz w:val="22"/>
        </w:rPr>
        <w:t>The Next Chance Collaborative · Visual Identity v1.0</w:t>
      </w:r>
    </w:p>
    <w:p>
      <w:pPr>
        <w:spacing w:after="80"/>
        <w:jc w:val="center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before="200" w:after="80"/>
      </w:pPr>
      <w:r>
        <w:rPr>
          <w:b/>
          <w:color w:val="C2410C"/>
          <w:sz w:val="28"/>
        </w:rPr>
        <w:t>Logo</w:t>
      </w:r>
    </w:p>
    <w:p>
      <w:pPr>
        <w:spacing w:after="200"/>
      </w:pPr>
      <w:r>
        <w:rPr>
          <w:b w:val="0"/>
          <w:i w:val="0"/>
          <w:color w:val="1A1A1A"/>
          <w:sz w:val="22"/>
        </w:rPr>
        <w:t>Our mark is three nested chevrons, advancing forward together. They symbolize a coalition — multiple organizations, the same direction. The chevron is bold, geometric, and unmistakably forward-leaning.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572000" cy="101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horizont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1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40"/>
        <w:jc w:val="center"/>
      </w:pPr>
      <w:r>
        <w:rPr>
          <w:b w:val="0"/>
          <w:i/>
          <w:color w:val="4B5563"/>
          <w:sz w:val="22"/>
        </w:rPr>
        <w:t>Primary horizontal lockup. Use this whenever space allows.</w:t>
      </w:r>
    </w:p>
    <w:p>
      <w:pPr>
        <w:spacing w:before="80" w:after="80"/>
      </w:pPr>
      <w:r>
        <w:rPr>
          <w:b/>
          <w:color w:val="C2410C"/>
          <w:sz w:val="24"/>
        </w:rPr>
        <w:t>Other lockups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828800" cy="164592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stacked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64592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i/>
                <w:color w:val="4B5563"/>
                <w:sz w:val="18"/>
              </w:rPr>
              <w:t>Stacked lockup</w:t>
              <w:br/>
              <w:t>Use for square / vertical space</w:t>
            </w:r>
          </w:p>
        </w:tc>
        <w:tc>
          <w:tcPr>
            <w:tcW w:type="dxa" w:w="4824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371600" cy="1371600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mark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i/>
                <w:color w:val="4B5563"/>
                <w:sz w:val="18"/>
              </w:rPr>
              <w:t>Mark only</w:t>
              <w:br/>
              <w:t>Use for favicons, social avatars</w:t>
            </w:r>
          </w:p>
        </w:tc>
      </w:tr>
    </w:tbl>
    <w:p>
      <w:pPr>
        <w:spacing w:before="200" w:after="80"/>
      </w:pPr>
      <w:r>
        <w:rPr>
          <w:b/>
          <w:color w:val="C2410C"/>
          <w:sz w:val="24"/>
        </w:rPr>
        <w:t>Logo do's and don'ts</w:t>
      </w:r>
    </w:p>
    <w:p>
      <w:pPr>
        <w:pStyle w:val="ListBullet"/>
        <w:spacing w:after="40"/>
      </w:pPr>
      <w:r>
        <w:rPr>
          <w:sz w:val="21"/>
        </w:rPr>
        <w:t>DO use the logo with adequate clear space — at least the width of one chevron on every side.</w:t>
      </w:r>
    </w:p>
    <w:p>
      <w:pPr>
        <w:pStyle w:val="ListBullet"/>
        <w:spacing w:after="40"/>
      </w:pPr>
      <w:r>
        <w:rPr>
          <w:sz w:val="21"/>
        </w:rPr>
        <w:t>DO use the logo on white, cream, or a light orange background. On dark backgrounds, use a white-out version.</w:t>
      </w:r>
    </w:p>
    <w:p>
      <w:pPr>
        <w:pStyle w:val="ListBullet"/>
        <w:spacing w:after="40"/>
      </w:pPr>
      <w:r>
        <w:rPr>
          <w:sz w:val="21"/>
        </w:rPr>
        <w:t>DO use the monochrome version (logo-mono.svg) where color isn't possible.</w:t>
      </w:r>
    </w:p>
    <w:p>
      <w:pPr>
        <w:pStyle w:val="ListBullet"/>
        <w:spacing w:after="40"/>
      </w:pPr>
      <w:r>
        <w:rPr>
          <w:sz w:val="21"/>
        </w:rPr>
        <w:t>DON'T stretch, rotate, or distort the chevrons.</w:t>
      </w:r>
    </w:p>
    <w:p>
      <w:pPr>
        <w:pStyle w:val="ListBullet"/>
        <w:spacing w:after="40"/>
      </w:pPr>
      <w:r>
        <w:rPr>
          <w:sz w:val="21"/>
        </w:rPr>
        <w:t>DON'T change the colors of the chevrons — the gradient is intentional.</w:t>
      </w:r>
    </w:p>
    <w:p>
      <w:pPr>
        <w:pStyle w:val="ListBullet"/>
        <w:spacing w:after="40"/>
      </w:pPr>
      <w:r>
        <w:rPr>
          <w:sz w:val="21"/>
        </w:rPr>
        <w:t>DON'T add drop shadows, outlines, or other effects to the mark.</w:t>
      </w:r>
    </w:p>
    <w:p>
      <w:pPr>
        <w:pStyle w:val="ListBullet"/>
        <w:spacing w:after="40"/>
      </w:pPr>
      <w:r>
        <w:rPr>
          <w:sz w:val="21"/>
        </w:rPr>
        <w:t>DON'T place the logo on busy photographic backgrounds without a solid white card behind it.</w:t>
      </w:r>
    </w:p>
    <w:p>
      <w:pPr>
        <w:spacing w:before="200" w:after="80"/>
      </w:pPr>
      <w:r>
        <w:rPr>
          <w:b/>
          <w:color w:val="C2410C"/>
          <w:sz w:val="28"/>
        </w:rPr>
        <w:t>Color Palette</w:t>
      </w:r>
    </w:p>
    <w:p>
      <w:pPr>
        <w:spacing w:after="200"/>
      </w:pPr>
      <w:r>
        <w:rPr>
          <w:b w:val="0"/>
          <w:i w:val="0"/>
          <w:color w:val="1A1A1A"/>
          <w:sz w:val="22"/>
        </w:rPr>
        <w:t>Two colors do most of the work: deep orange (warmth, energy, hope) and charcoal (gravity, seriousness). Cream and slate gray support.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16"/>
        <w:gridCol w:w="3216"/>
        <w:gridCol w:w="3216"/>
      </w:tblGrid>
      <w:tr>
        <w:tc>
          <w:tcPr>
            <w:tcW w:type="dxa" w:w="3216"/>
            <w:shd w:fill="C2410C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Primary Orange</w:t>
            </w:r>
          </w:p>
          <w:p>
            <w:r>
              <w:rPr>
                <w:color w:val="4B5563"/>
                <w:sz w:val="18"/>
              </w:rPr>
              <w:t>#C2410C  ·  rgb(194, 65, 12)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Logo, primary buttons, headlines, links</w:t>
            </w:r>
          </w:p>
        </w:tc>
      </w:tr>
      <w:tr>
        <w:tc>
          <w:tcPr>
            <w:tcW w:type="dxa" w:w="3216"/>
            <w:shd w:fill="FBA572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Light Orange</w:t>
            </w:r>
          </w:p>
          <w:p>
            <w:r>
              <w:rPr>
                <w:color w:val="4B5563"/>
                <w:sz w:val="18"/>
              </w:rPr>
              <w:t>#FBA572  ·  rgb(251, 165, 114)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Background lightest chevron, soft accents</w:t>
            </w:r>
          </w:p>
        </w:tc>
      </w:tr>
      <w:tr>
        <w:tc>
          <w:tcPr>
            <w:tcW w:type="dxa" w:w="3216"/>
            <w:shd w:fill="E66B27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Mid Orange</w:t>
            </w:r>
          </w:p>
          <w:p>
            <w:r>
              <w:rPr>
                <w:color w:val="4B5563"/>
                <w:sz w:val="18"/>
              </w:rPr>
              <w:t>#E66B27  ·  rgb(230, 107, 39)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Mid chevron, hover states</w:t>
            </w:r>
          </w:p>
        </w:tc>
      </w:tr>
      <w:tr>
        <w:tc>
          <w:tcPr>
            <w:tcW w:type="dxa" w:w="3216"/>
            <w:shd w:fill="9A3412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Dark Orange</w:t>
            </w:r>
          </w:p>
          <w:p>
            <w:r>
              <w:rPr>
                <w:color w:val="4B5563"/>
                <w:sz w:val="18"/>
              </w:rPr>
              <w:t>#9A3412  ·  rgb(154, 52, 18)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Button hover, deep contrast</w:t>
            </w:r>
          </w:p>
        </w:tc>
      </w:tr>
      <w:tr>
        <w:tc>
          <w:tcPr>
            <w:tcW w:type="dxa" w:w="3216"/>
            <w:shd w:fill="FFF7ED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Cream</w:t>
            </w:r>
          </w:p>
          <w:p>
            <w:r>
              <w:rPr>
                <w:color w:val="4B5563"/>
                <w:sz w:val="18"/>
              </w:rPr>
              <w:t>#FFF7ED  ·  rgb(255, 247, 237)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Hero background, warm sections</w:t>
            </w:r>
          </w:p>
        </w:tc>
      </w:tr>
      <w:tr>
        <w:tc>
          <w:tcPr>
            <w:tcW w:type="dxa" w:w="3216"/>
            <w:shd w:fill="1A1A1A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Charcoal</w:t>
            </w:r>
          </w:p>
          <w:p>
            <w:r>
              <w:rPr>
                <w:color w:val="4B5563"/>
                <w:sz w:val="18"/>
              </w:rPr>
              <w:t>#1A1A1A  ·  rgb(26, 26, 26)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Body text, headlines</w:t>
            </w:r>
          </w:p>
        </w:tc>
      </w:tr>
      <w:tr>
        <w:tc>
          <w:tcPr>
            <w:tcW w:type="dxa" w:w="3216"/>
            <w:shd w:fill="4B5563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Slate Gray</w:t>
            </w:r>
          </w:p>
          <w:p>
            <w:r>
              <w:rPr>
                <w:color w:val="4B5563"/>
                <w:sz w:val="18"/>
              </w:rPr>
              <w:t>#4B5563  ·  rgb(75, 85, 99)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Secondary text, captions</w:t>
            </w:r>
          </w:p>
        </w:tc>
      </w:tr>
      <w:tr>
        <w:tc>
          <w:tcPr>
            <w:tcW w:type="dxa" w:w="3216"/>
            <w:shd w:fill="E5E5E7"/>
          </w:tcPr>
          <w:p>
            <w:r>
              <w:rPr>
                <w:sz w:val="40"/>
              </w:rPr>
              <w:t xml:space="preserve">        </w:t>
            </w:r>
          </w:p>
        </w:tc>
        <w:tc>
          <w:tcPr>
            <w:tcW w:type="dxa" w:w="3216"/>
          </w:tcPr>
          <w:p>
            <w:r>
              <w:rPr>
                <w:b/>
                <w:sz w:val="22"/>
              </w:rPr>
              <w:t>Border Gray</w:t>
            </w:r>
          </w:p>
          <w:p>
            <w:r>
              <w:rPr>
                <w:color w:val="4B5563"/>
                <w:sz w:val="18"/>
              </w:rPr>
              <w:t>#E5E5E7  ·  rgb(229, 229, 231)</w:t>
            </w:r>
          </w:p>
        </w:tc>
        <w:tc>
          <w:tcPr>
            <w:tcW w:type="dxa" w:w="3216"/>
          </w:tcPr>
          <w:p>
            <w:r>
              <w:rPr>
                <w:sz w:val="20"/>
              </w:rPr>
              <w:t>Dividers, card borders</w:t>
            </w:r>
          </w:p>
        </w:tc>
      </w:tr>
    </w:tbl>
    <w:p>
      <w:pPr>
        <w:spacing w:before="200" w:after="80"/>
      </w:pPr>
      <w:r>
        <w:rPr>
          <w:b/>
          <w:color w:val="C2410C"/>
          <w:sz w:val="28"/>
        </w:rPr>
        <w:t>Typography</w:t>
      </w:r>
    </w:p>
    <w:p>
      <w:pPr>
        <w:spacing w:after="200"/>
      </w:pPr>
      <w:r>
        <w:rPr>
          <w:b w:val="0"/>
          <w:i w:val="0"/>
          <w:color w:val="1A1A1A"/>
          <w:sz w:val="22"/>
        </w:rPr>
        <w:t>Single sans-serif family. Bold for headlines, regular for body, light/tracked for support text. We use system fonts so the brand renders consistently anywhere.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rPr>
                <w:sz w:val="4"/>
              </w:rPr>
            </w:r>
            <w:r>
              <w:rPr>
                <w:b/>
                <w:sz w:val="22"/>
              </w:rPr>
              <w:t>Display / Headlines</w:t>
            </w:r>
          </w:p>
        </w:tc>
        <w:tc>
          <w:tcPr>
            <w:tcW w:type="dxa" w:w="4824"/>
          </w:tcPr>
          <w:p>
            <w:r>
              <w:rPr>
                <w:sz w:val="4"/>
              </w:rPr>
            </w:r>
            <w:r>
              <w:rPr>
                <w:sz w:val="21"/>
              </w:rPr>
              <w:t>System sans-serif heavy</w:t>
            </w:r>
          </w:p>
          <w:p>
            <w:r>
              <w:rPr>
                <w:color w:val="4B5563"/>
                <w:sz w:val="18"/>
              </w:rPr>
              <w:t>Inter Black, Helvetica Neue Bold, Arial Black</w:t>
            </w:r>
          </w:p>
          <w:p>
            <w:r>
              <w:rPr>
                <w:i/>
                <w:color w:val="4B5563"/>
                <w:sz w:val="18"/>
              </w:rPr>
              <w:t>Letter-spacing: -0.02em on large sizes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sz w:val="22"/>
              </w:rPr>
              <w:t>Body</w:t>
            </w:r>
          </w:p>
        </w:tc>
        <w:tc>
          <w:tcPr>
            <w:tcW w:type="dxa" w:w="4824"/>
          </w:tcPr>
          <w:p>
            <w:r>
              <w:rPr>
                <w:sz w:val="21"/>
              </w:rPr>
              <w:t>System sans-serif regular</w:t>
            </w:r>
          </w:p>
          <w:p>
            <w:r>
              <w:rPr>
                <w:color w:val="4B5563"/>
                <w:sz w:val="18"/>
              </w:rPr>
              <w:t>Inter, Helvetica Neue, Arial</w:t>
            </w:r>
          </w:p>
          <w:p>
            <w:r>
              <w:rPr>
                <w:i/>
                <w:color w:val="4B5563"/>
                <w:sz w:val="18"/>
              </w:rPr>
              <w:t>Line-height: 1.55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sz w:val="22"/>
              </w:rPr>
              <w:t>Eyebrows / Labels</w:t>
            </w:r>
          </w:p>
        </w:tc>
        <w:tc>
          <w:tcPr>
            <w:tcW w:type="dxa" w:w="4824"/>
          </w:tcPr>
          <w:p>
            <w:r>
              <w:rPr>
                <w:sz w:val="21"/>
              </w:rPr>
              <w:t>System sans-serif bold caps</w:t>
            </w:r>
          </w:p>
          <w:p>
            <w:r>
              <w:rPr>
                <w:color w:val="4B5563"/>
                <w:sz w:val="18"/>
              </w:rPr>
              <w:t>Tracked +0.08em</w:t>
            </w:r>
          </w:p>
          <w:p>
            <w:r>
              <w:rPr>
                <w:i/>
                <w:color w:val="4B5563"/>
                <w:sz w:val="18"/>
              </w:rPr>
              <w:t>Always uppercase, always orange</w:t>
            </w:r>
          </w:p>
        </w:tc>
      </w:tr>
      <w:tr>
        <w:tc>
          <w:tcPr>
            <w:tcW w:type="dxa" w:w="4824"/>
          </w:tcPr>
          <w:p>
            <w:r>
              <w:rPr>
                <w:b/>
                <w:sz w:val="22"/>
              </w:rPr>
              <w:t>Captions / Meta</w:t>
            </w:r>
          </w:p>
        </w:tc>
        <w:tc>
          <w:tcPr>
            <w:tcW w:type="dxa" w:w="4824"/>
          </w:tcPr>
          <w:p>
            <w:r>
              <w:rPr>
                <w:sz w:val="21"/>
              </w:rPr>
              <w:t>System sans-serif small</w:t>
            </w:r>
          </w:p>
          <w:p>
            <w:r>
              <w:rPr>
                <w:color w:val="4B5563"/>
                <w:sz w:val="18"/>
              </w:rPr>
              <w:t>Slate gray, ~12px / 9pt</w:t>
            </w:r>
          </w:p>
          <w:p>
            <w:r>
              <w:rPr>
                <w:i/>
                <w:color w:val="4B5563"/>
                <w:sz w:val="18"/>
              </w:rPr>
              <w:t>Below normal text</w:t>
            </w:r>
          </w:p>
        </w:tc>
      </w:tr>
    </w:tbl>
    <w:p>
      <w:pPr>
        <w:spacing w:before="200" w:after="80"/>
      </w:pPr>
      <w:r>
        <w:rPr>
          <w:b/>
          <w:color w:val="C2410C"/>
          <w:sz w:val="28"/>
        </w:rPr>
        <w:t>Voice &amp; Tone</w:t>
      </w:r>
    </w:p>
    <w:p>
      <w:pPr>
        <w:spacing w:after="160"/>
      </w:pPr>
      <w:r>
        <w:rPr>
          <w:b w:val="0"/>
          <w:i w:val="0"/>
          <w:color w:val="1A1A1A"/>
          <w:sz w:val="22"/>
        </w:rPr>
        <w:t>Four principles guide every word we publish.</w:t>
      </w:r>
    </w:p>
    <w:p>
      <w:pPr>
        <w:spacing w:before="200" w:after="40"/>
      </w:pPr>
      <w:r>
        <w:rPr>
          <w:b/>
          <w:color w:val="C2410C"/>
          <w:sz w:val="24"/>
        </w:rPr>
        <w:t>1. Plain, declarative, confident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Short sentences. Active verbs. We're not shy about what we believe or what we ask for. Avoid jargon — both nonprofit-speak and ministry-speak.</w:t>
      </w:r>
    </w:p>
    <w:p>
      <w:pPr>
        <w:spacing w:before="200" w:after="40"/>
      </w:pPr>
      <w:r>
        <w:rPr>
          <w:b/>
          <w:color w:val="C2410C"/>
          <w:sz w:val="24"/>
        </w:rPr>
        <w:t>2. Hospitable to both faith and secular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We name the faith roots without making them a barrier. We use language that lets a Catholic bishop, a returning citizen, a secular policy researcher, and an evangelical pastor all feel addressed.</w:t>
      </w:r>
    </w:p>
    <w:p>
      <w:pPr>
        <w:spacing w:before="200" w:after="40"/>
      </w:pPr>
      <w:r>
        <w:rPr>
          <w:b/>
          <w:color w:val="C2410C"/>
          <w:sz w:val="24"/>
        </w:rPr>
        <w:t>3. Always credit returning citizens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They are not a population to be served. They are colleagues, members, leaders. Default to 'returning citizens' or specific people's names — never 'inmates,' 'offenders,' or 'ex-cons.'</w:t>
      </w:r>
    </w:p>
    <w:p>
      <w:pPr>
        <w:spacing w:before="200" w:after="40"/>
      </w:pPr>
      <w:r>
        <w:rPr>
          <w:b/>
          <w:color w:val="C2410C"/>
          <w:sz w:val="24"/>
        </w:rPr>
        <w:t>4. Hopeful but not naive</w:t>
      </w:r>
    </w:p>
    <w:p>
      <w:pPr>
        <w:spacing w:after="120"/>
      </w:pPr>
      <w:r>
        <w:rPr>
          <w:b w:val="0"/>
          <w:i w:val="0"/>
          <w:color w:val="1A1A1A"/>
          <w:sz w:val="22"/>
        </w:rPr>
        <w:t>We don't sugarcoat what reentry costs or how often it fails. We don't perform sentimentality. The work is hard; we describe it as hard. Hope shows up in what we do, not in our adjectives.</w:t>
      </w:r>
    </w:p>
    <w:p>
      <w:pPr>
        <w:spacing w:before="200" w:after="80"/>
      </w:pPr>
      <w:r>
        <w:rPr>
          <w:b/>
          <w:color w:val="C2410C"/>
          <w:sz w:val="28"/>
        </w:rPr>
        <w:t>Approved Taglines</w:t>
      </w:r>
    </w:p>
    <w:p>
      <w:pPr>
        <w:pStyle w:val="ListBullet"/>
        <w:spacing w:after="40"/>
      </w:pPr>
      <w:r>
        <w:rPr>
          <w:sz w:val="21"/>
        </w:rPr>
        <w:t>"No one walks out of a prison gate alone."  —  primary tagline; for hero, footer, business cards</w:t>
      </w:r>
    </w:p>
    <w:p>
      <w:pPr>
        <w:pStyle w:val="ListBullet"/>
        <w:spacing w:after="40"/>
      </w:pPr>
      <w:r>
        <w:rPr>
          <w:sz w:val="21"/>
        </w:rPr>
        <w:t>"Stitching the handoffs every returning citizen needs."  —  secondary; for funder pitches, partnership decks</w:t>
      </w:r>
    </w:p>
    <w:p>
      <w:pPr>
        <w:pStyle w:val="ListBullet"/>
        <w:spacing w:after="40"/>
      </w:pPr>
      <w:r>
        <w:rPr>
          <w:sz w:val="21"/>
        </w:rPr>
        <w:t>"Help people leave prison and stay out."  —  blunt utility line; for recruitment ads</w:t>
      </w:r>
    </w:p>
    <w:p>
      <w:pPr>
        <w:spacing w:before="200" w:after="80"/>
      </w:pPr>
      <w:r>
        <w:rPr>
          <w:b/>
          <w:color w:val="C2410C"/>
          <w:sz w:val="28"/>
        </w:rPr>
        <w:t>Language: Do / Don't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24"/>
        <w:gridCol w:w="4824"/>
      </w:tblGrid>
      <w:tr>
        <w:tc>
          <w:tcPr>
            <w:tcW w:type="dxa" w:w="4824"/>
          </w:tcPr>
          <w:p>
            <w:r>
              <w:rPr>
                <w:b/>
                <w:color w:val="C2410C"/>
                <w:sz w:val="22"/>
              </w:rPr>
              <w:t>Do say</w:t>
            </w:r>
          </w:p>
        </w:tc>
        <w:tc>
          <w:tcPr>
            <w:tcW w:type="dxa" w:w="4824"/>
          </w:tcPr>
          <w:p>
            <w:r>
              <w:rPr>
                <w:b/>
                <w:color w:val="C2410C"/>
                <w:sz w:val="22"/>
              </w:rPr>
              <w:t>Don't say</w:t>
            </w:r>
          </w:p>
        </w:tc>
      </w:tr>
      <w:tr>
        <w:tc>
          <w:tcPr>
            <w:tcW w:type="dxa" w:w="4824"/>
          </w:tcPr>
          <w:p>
            <w:r>
              <w:rPr>
                <w:color w:val="1A1A1A"/>
                <w:sz w:val="21"/>
              </w:rPr>
              <w:t>✓  Returning citizen</w:t>
            </w:r>
          </w:p>
        </w:tc>
        <w:tc>
          <w:tcPr>
            <w:tcW w:type="dxa" w:w="4824"/>
          </w:tcPr>
          <w:p>
            <w:r>
              <w:rPr>
                <w:color w:val="4B5563"/>
                <w:sz w:val="21"/>
              </w:rPr>
              <w:t>✗  Inmate, ex-con, offender, felon</w:t>
            </w:r>
          </w:p>
        </w:tc>
      </w:tr>
      <w:tr>
        <w:tc>
          <w:tcPr>
            <w:tcW w:type="dxa" w:w="4824"/>
          </w:tcPr>
          <w:p>
            <w:r>
              <w:rPr>
                <w:color w:val="1A1A1A"/>
                <w:sz w:val="21"/>
              </w:rPr>
              <w:t>✓  Person who has been incarcerated</w:t>
            </w:r>
          </w:p>
        </w:tc>
        <w:tc>
          <w:tcPr>
            <w:tcW w:type="dxa" w:w="4824"/>
          </w:tcPr>
          <w:p>
            <w:r>
              <w:rPr>
                <w:color w:val="4B5563"/>
                <w:sz w:val="21"/>
              </w:rPr>
              <w:t>✗  Convict</w:t>
            </w:r>
          </w:p>
        </w:tc>
      </w:tr>
      <w:tr>
        <w:tc>
          <w:tcPr>
            <w:tcW w:type="dxa" w:w="4824"/>
          </w:tcPr>
          <w:p>
            <w:r>
              <w:rPr>
                <w:color w:val="1A1A1A"/>
                <w:sz w:val="21"/>
              </w:rPr>
              <w:t>✓  Reentry</w:t>
            </w:r>
          </w:p>
        </w:tc>
        <w:tc>
          <w:tcPr>
            <w:tcW w:type="dxa" w:w="4824"/>
          </w:tcPr>
          <w:p>
            <w:r>
              <w:rPr>
                <w:color w:val="4B5563"/>
                <w:sz w:val="21"/>
              </w:rPr>
              <w:t>✗  Released back into society</w:t>
            </w:r>
          </w:p>
        </w:tc>
      </w:tr>
      <w:tr>
        <w:tc>
          <w:tcPr>
            <w:tcW w:type="dxa" w:w="4824"/>
          </w:tcPr>
          <w:p>
            <w:r>
              <w:rPr>
                <w:color w:val="1A1A1A"/>
                <w:sz w:val="21"/>
              </w:rPr>
              <w:t>✓  Coalition member</w:t>
            </w:r>
          </w:p>
        </w:tc>
        <w:tc>
          <w:tcPr>
            <w:tcW w:type="dxa" w:w="4824"/>
          </w:tcPr>
          <w:p>
            <w:r>
              <w:rPr>
                <w:color w:val="4B5563"/>
                <w:sz w:val="21"/>
              </w:rPr>
              <w:t>✗  Stakeholder, partner organization</w:t>
            </w:r>
          </w:p>
        </w:tc>
      </w:tr>
      <w:tr>
        <w:tc>
          <w:tcPr>
            <w:tcW w:type="dxa" w:w="4824"/>
          </w:tcPr>
          <w:p>
            <w:r>
              <w:rPr>
                <w:color w:val="1A1A1A"/>
                <w:sz w:val="21"/>
              </w:rPr>
              <w:t>✓  Walk alongside</w:t>
            </w:r>
          </w:p>
        </w:tc>
        <w:tc>
          <w:tcPr>
            <w:tcW w:type="dxa" w:w="4824"/>
          </w:tcPr>
          <w:p>
            <w:r>
              <w:rPr>
                <w:color w:val="4B5563"/>
                <w:sz w:val="21"/>
              </w:rPr>
              <w:t>✗  Mentor (when about peer support)</w:t>
            </w:r>
          </w:p>
        </w:tc>
      </w:tr>
      <w:tr>
        <w:tc>
          <w:tcPr>
            <w:tcW w:type="dxa" w:w="4824"/>
          </w:tcPr>
          <w:p>
            <w:r>
              <w:rPr>
                <w:color w:val="1A1A1A"/>
                <w:sz w:val="21"/>
              </w:rPr>
              <w:t>✓  Coordinate handoffs</w:t>
            </w:r>
          </w:p>
        </w:tc>
        <w:tc>
          <w:tcPr>
            <w:tcW w:type="dxa" w:w="4824"/>
          </w:tcPr>
          <w:p>
            <w:r>
              <w:rPr>
                <w:color w:val="4B5563"/>
                <w:sz w:val="21"/>
              </w:rPr>
              <w:t>✗  Wraparound services</w:t>
            </w:r>
          </w:p>
        </w:tc>
      </w:tr>
    </w:tbl>
    <w:p>
      <w:pPr>
        <w:spacing w:before="200" w:after="80"/>
      </w:pPr>
      <w:r>
        <w:rPr>
          <w:b/>
          <w:color w:val="C2410C"/>
          <w:sz w:val="28"/>
        </w:rPr>
        <w:t>Logo Files</w:t>
      </w:r>
    </w:p>
    <w:p>
      <w:pPr>
        <w:spacing w:after="80"/>
      </w:pPr>
      <w:r>
        <w:rPr>
          <w:b w:val="0"/>
          <w:i w:val="0"/>
          <w:color w:val="1A1A1A"/>
          <w:sz w:val="22"/>
        </w:rPr>
        <w:t>Found in your workspace folder:</w:t>
      </w:r>
    </w:p>
    <w:p>
      <w:pPr>
        <w:pStyle w:val="ListBullet"/>
        <w:spacing w:after="40"/>
      </w:pPr>
      <w:r>
        <w:rPr>
          <w:sz w:val="21"/>
        </w:rPr>
        <w:t>logo-horizontal.svg — Primary horizontal lockup</w:t>
      </w:r>
    </w:p>
    <w:p>
      <w:pPr>
        <w:pStyle w:val="ListBullet"/>
        <w:spacing w:after="40"/>
      </w:pPr>
      <w:r>
        <w:rPr>
          <w:sz w:val="21"/>
        </w:rPr>
        <w:t>logo-stacked.svg — Stacked vertical lockup (for square spaces)</w:t>
      </w:r>
    </w:p>
    <w:p>
      <w:pPr>
        <w:pStyle w:val="ListBullet"/>
        <w:spacing w:after="40"/>
      </w:pPr>
      <w:r>
        <w:rPr>
          <w:sz w:val="21"/>
        </w:rPr>
        <w:t>logo-mark.svg — Mark only (favicons, social avatars)</w:t>
      </w:r>
    </w:p>
    <w:p>
      <w:pPr>
        <w:pStyle w:val="ListBullet"/>
        <w:spacing w:after="40"/>
      </w:pPr>
      <w:r>
        <w:rPr>
          <w:sz w:val="21"/>
        </w:rPr>
        <w:t>logo-mono.svg — Monochrome (B&amp;W contexts)</w:t>
      </w:r>
    </w:p>
    <w:p>
      <w:pPr>
        <w:spacing w:after="240"/>
      </w:pPr>
      <w:r>
        <w:rPr>
          <w:b w:val="0"/>
          <w:i/>
          <w:color w:val="4B5563"/>
          <w:sz w:val="20"/>
        </w:rPr>
        <w:t>To export to PNG/JPG at any resolution, open the SVG in any browser and screenshot, or use any free SVG-to-PNG converter online. SVGs scale to any size without quality loss.</w:t>
      </w:r>
    </w:p>
    <w:p>
      <w:pPr>
        <w:spacing w:after="80"/>
        <w:jc w:val="center"/>
      </w:pPr>
      <w:r>
        <w:rPr>
          <w:color w:val="C2410C"/>
          <w:sz w:val="16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120"/>
        <w:jc w:val="center"/>
      </w:pPr>
      <w:r>
        <w:rPr>
          <w:b w:val="0"/>
          <w:i/>
          <w:color w:val="4B5563"/>
          <w:sz w:val="18"/>
        </w:rPr>
        <w:t>Brand questions: gdoepel@gmail.com  ·  v1.0  ·  May 2026</w:t>
      </w:r>
    </w:p>
    <w:sectPr w:rsidR="00FC693F" w:rsidRPr="0006063C" w:rsidSect="00034616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